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left"/>
      </w:pPr>
      <w:r>
        <w:rPr>
          <w:rtl w:val="0"/>
          <w:lang w:val="fr-FR"/>
        </w:rPr>
        <w:t>Ursula von der Leyen</w:t>
      </w:r>
      <w:r>
        <w:rPr>
          <w:lang w:val="fr-FR"/>
        </w:rPr>
        <w:br w:type="textWrapping"/>
      </w:r>
      <w:r>
        <w:rPr>
          <w:rtl w:val="0"/>
          <w:lang w:val="fr-FR"/>
        </w:rPr>
        <w:t>Presidente della Commissione Europea</w:t>
      </w:r>
      <w:r>
        <w:rPr>
          <w:lang w:val="fr-FR"/>
        </w:rPr>
        <w:br w:type="textWrapping"/>
      </w:r>
      <w:r>
        <w:rPr>
          <w:rtl w:val="0"/>
          <w:lang w:val="fr-FR"/>
        </w:rPr>
        <w:t>Commissione Europea</w:t>
      </w:r>
      <w:r>
        <w:rPr>
          <w:lang w:val="fr-FR"/>
        </w:rPr>
        <w:br w:type="textWrapping"/>
      </w:r>
      <w:r>
        <w:rPr>
          <w:rtl w:val="0"/>
          <w:lang w:val="fr-FR"/>
        </w:rPr>
        <w:t>Rue de la Loi / Wetstraat 200</w:t>
      </w:r>
      <w:r>
        <w:rPr>
          <w:lang w:val="fr-FR"/>
        </w:rPr>
        <w:br w:type="textWrapping"/>
      </w:r>
      <w:r>
        <w:rPr>
          <w:rtl w:val="0"/>
          <w:lang w:val="fr-FR"/>
        </w:rPr>
        <w:t>1049 Bruxelles, Belgio</w:t>
      </w:r>
    </w:p>
    <w:p>
      <w:pPr>
        <w:pStyle w:val="Corpo"/>
        <w:jc w:val="right"/>
      </w:pPr>
      <w:r>
        <w:rPr>
          <w:rtl w:val="0"/>
          <w:lang w:val="en-US"/>
        </w:rPr>
        <w:t>Bruxelles, 4 febbraio 2025</w:t>
      </w:r>
    </w:p>
    <w:p>
      <w:pPr>
        <w:pStyle w:val="Corpo"/>
        <w:jc w:val="right"/>
        <w:rPr>
          <w:lang w:val="en-US"/>
        </w:rPr>
      </w:pPr>
    </w:p>
    <w:p>
      <w:pPr>
        <w:pStyle w:val="Corpo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Oggetto: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> 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>Vietare commercio e affari dell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>’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>UE con gli insediamenti illegali di Israele nei Territorio Palestinese Occupato</w:t>
      </w:r>
    </w:p>
    <w:p>
      <w:pPr>
        <w:pStyle w:val="Corpo"/>
        <w:rPr>
          <w:b w:val="1"/>
          <w:bCs w:val="1"/>
          <w:lang w:val="en-US"/>
        </w:rPr>
      </w:pPr>
    </w:p>
    <w:p>
      <w:pPr>
        <w:pStyle w:val="Corpo"/>
      </w:pPr>
      <w:r>
        <w:rPr>
          <w:rtl w:val="0"/>
          <w:lang w:val="en-US"/>
        </w:rPr>
        <w:t>Gentile Presidente von der Leyen,</w:t>
      </w:r>
    </w:p>
    <w:p>
      <w:pPr>
        <w:pStyle w:val="Corpo"/>
      </w:pPr>
      <w:r>
        <w:rPr>
          <w:rtl w:val="0"/>
          <w:lang w:val="en-US"/>
        </w:rPr>
        <w:t>Noi sottoscritti, organizzazioni per i diritti umani, sindacati e gruppi della societ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civile, esortiamo la Commissione Europea ad adottare provvedimenti per vietare il commercio e le attivit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economica tra l'UE e gli insediamenti illegali di Israele nei Territorio Palestinese Occupato (TPO), compresa Gerusalemme Est. Ci</w:t>
      </w:r>
      <w:r>
        <w:rPr>
          <w:rtl w:val="0"/>
          <w:lang w:val="en-US"/>
        </w:rPr>
        <w:t xml:space="preserve">ò è </w:t>
      </w:r>
      <w:r>
        <w:rPr>
          <w:rtl w:val="0"/>
          <w:lang w:val="en-US"/>
        </w:rPr>
        <w:t>essenziale affinch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UE e i suoi Stati membri rispettino i propri obblighi ai sensi del diritto internazionale.</w:t>
      </w:r>
    </w:p>
    <w:p>
      <w:pPr>
        <w:pStyle w:val="Corpo"/>
      </w:pPr>
      <w:r>
        <w:rPr>
          <w:rtl w:val="0"/>
          <w:lang w:val="en-US"/>
        </w:rPr>
        <w:t>Il 19 luglio 2024, la Corte Internazionale di Giustizia (CIG) ha emesso un parere consultivo di portata storica,</w:t>
      </w:r>
      <w:r>
        <w:rPr>
          <w:rFonts w:ascii="Aptos" w:cs="Aptos" w:hAnsi="Aptos" w:eastAsia="Aptos"/>
          <w:b w:val="0"/>
          <w:bCs w:val="0"/>
          <w:i w:val="0"/>
          <w:iCs w:val="0"/>
          <w:vertAlign w:val="superscript"/>
          <w:lang w:val="en-US"/>
        </w:rPr>
        <w:footnoteReference w:id="1"/>
      </w:r>
      <w:r>
        <w:rPr>
          <w:rtl w:val="0"/>
          <w:lang w:val="en-US"/>
        </w:rPr>
        <w:t xml:space="preserve"> affermando che gli Stati non devono riconoscere, sostenere o assistere la situazione illegale derivante dall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occupazione israeliana dei territorio palestinese. La Corte ha chiarito che tutti gli Stati hanno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l'obbligo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di astenersi dall'intraprendere rapporti economici o commerciali con Israele riguardanti i [TPO] o parte di essi che possano rafforzare la sua presenza illegale nel territorio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, e di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adottare misure per impedire relazioni commerciali o di investimento che contribuiscano al mantenimento della situazione illegale creata da Israele nei [TPO]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</w:t>
      </w:r>
    </w:p>
    <w:p>
      <w:pPr>
        <w:pStyle w:val="Corpo"/>
      </w:pPr>
      <w:r>
        <w:rPr>
          <w:rtl w:val="0"/>
          <w:lang w:val="en-US"/>
        </w:rPr>
        <w:t>L'attuale politica dell'UE, che distingue tra beni prodotti in Israele e quelli prodotti negli insediamenti, non rispetta tali obblighi. Sebbene questa distinzione neghi condizioni commerciali preferenziali per i beni degli insediamenti, consente comunque l'ingresso di tali beni nel mercato dell'UE. Ci</w:t>
      </w:r>
      <w:r>
        <w:rPr>
          <w:rtl w:val="0"/>
          <w:lang w:val="en-US"/>
        </w:rPr>
        <w:t xml:space="preserve">ò </w:t>
      </w:r>
      <w:r>
        <w:rPr>
          <w:rtl w:val="0"/>
          <w:lang w:val="en-US"/>
        </w:rPr>
        <w:t>viola gli obblighi previsti dal diritto internazionale umanitario e delineati dalla CIG, che</w:t>
      </w:r>
      <w:r>
        <w:rPr>
          <w:rtl w:val="0"/>
          <w:lang w:val="en-US"/>
        </w:rPr>
        <w:t> 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>richiedono il divieto totale sul commercio e sulle attivit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 xml:space="preserve">à </w:t>
      </w:r>
      <w:r>
        <w:rPr>
          <w:rFonts w:ascii="Aptos" w:cs="Aptos" w:hAnsi="Aptos" w:eastAsia="Aptos"/>
          <w:b w:val="1"/>
          <w:bCs w:val="1"/>
          <w:rtl w:val="0"/>
          <w:lang w:val="en-US"/>
        </w:rPr>
        <w:t>economiche con gli insediamenti illegali di Israele</w:t>
      </w:r>
      <w:r>
        <w:rPr>
          <w:rtl w:val="0"/>
          <w:lang w:val="en-US"/>
        </w:rPr>
        <w:t>.</w:t>
      </w:r>
    </w:p>
    <w:p>
      <w:pPr>
        <w:pStyle w:val="Corpo"/>
      </w:pPr>
      <w:r>
        <w:rPr>
          <w:rtl w:val="0"/>
          <w:lang w:val="en-US"/>
        </w:rPr>
        <w:t>Commerciando con gli insediamenti illegali, l'UE, i suoi Stati membri e le imprese europee non solo violano i propri obblighi legali, ma contribuiscono anche alle sistemiche, gravi violazioni dei diritti umani e delle altre norme del diritto internazionale che sono alla base degli insediamenti. Il parere della CIG ha dettagliato queste violazioni, concludendo che la legislazione e le politiche israeliane violano l'articolo 3 della Convenzione Internazionale sull'Eliminazione di tutte le Forme di Discriminazione Razziale (CERD), che proibisce la segregazione razziale e l'apartheid.</w:t>
      </w:r>
    </w:p>
    <w:p>
      <w:pPr>
        <w:pStyle w:val="Corpo"/>
      </w:pPr>
      <w:r>
        <w:rPr>
          <w:rtl w:val="0"/>
          <w:lang w:val="en-US"/>
        </w:rPr>
        <w:t>Gli Stati membri dell'UE hanno ripetutamente rilasciato dichiarazioni unanimi condannando gli insediamenti israeliani come illegali ai sensi del diritto internazionale e come un ostacolo significativo al raggiungimento di una soluzione a due Stati.</w:t>
      </w:r>
      <w:r>
        <w:rPr>
          <w:rFonts w:ascii="Aptos" w:cs="Aptos" w:hAnsi="Aptos" w:eastAsia="Aptos"/>
          <w:b w:val="0"/>
          <w:bCs w:val="0"/>
          <w:i w:val="0"/>
          <w:iCs w:val="0"/>
          <w:vertAlign w:val="superscript"/>
          <w:lang w:val="en-US"/>
        </w:rPr>
        <w:footnoteReference w:id="2"/>
      </w:r>
      <w:r>
        <w:rPr>
          <w:rtl w:val="0"/>
          <w:lang w:val="en-US"/>
        </w:rPr>
        <w:t xml:space="preserve"> Queste dichiarazioni hanno spesso evidenziato come gli insediamenti alimentino gravi abusi, tra cui sfratti forzati, demolizioni di infrastrutture civili (incluse infrastrutture finanziate dall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UE), confische di terreni, trasferimenti forzati, e violenze diffuse da parte di coloni sostenuti dallo Stato e delle forze israeliane. Tali abusi sono stati ritenuti cos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 xml:space="preserve">gravi dagli Stati membri dell'UE da spingerli, nonostante le loro profonde divisioni, ad adottare sanzioni mirate nei confronti di un numero limitato di coloni edi 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entit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affiliate agli insediamenti.</w:t>
      </w:r>
    </w:p>
    <w:p>
      <w:pPr>
        <w:pStyle w:val="Corpo"/>
      </w:pPr>
      <w:r>
        <w:rPr>
          <w:rtl w:val="0"/>
          <w:lang w:val="en-US"/>
        </w:rPr>
        <w:t>Tuttavia, nonostante il consenso tra gli stati membri sulla natura illegale degli insediamenti e sul loro legame con gravi abusi, l'UE continua a commerciare e consentire affari con essi, contribuendo a sostenere le gravi violazioni dei diritti umani e del diritto internazionale che sono inevitabilmente legate al mantenimento e all'espansione degli insediamenti.</w:t>
      </w:r>
    </w:p>
    <w:p>
      <w:pPr>
        <w:pStyle w:val="Corpo"/>
      </w:pPr>
      <w:r>
        <w:rPr>
          <w:rtl w:val="0"/>
          <w:lang w:val="en-US"/>
        </w:rPr>
        <w:t>Alla luce dell'urgenza di rispettare il diritto internazionale e fermare il contributo dell'UE, degli Stati membri e delle imprese europee alle gravi violazioni di Israele, chiediamo alla Commissione di adottare immediatamente le seguenti azioni:</w:t>
      </w: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Introdurre legislazione per vietare il commercio con e gli investimenti negli insediamenti</w:t>
      </w:r>
      <w:r>
        <w:rPr>
          <w:rtl w:val="0"/>
          <w:lang w:val="en-US"/>
        </w:rPr>
        <w:t>: Proporre atti legislativi che vietino gli investimenti e le importazioni ed esportazioni di beni e servizi da e verso gli insediamenti illegali di Israele nei Territorio Palestinese Occupato; segnaliamo, a tale riguardo, che la Commissione ha l'autorit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di proporre un divieto sul commercio con gli insediamenti sulla base della Politica Commerciale Comune, come riconosciuto dalla stessa Commissione;</w:t>
      </w:r>
      <w:r>
        <w:rPr>
          <w:vertAlign w:val="superscript"/>
          <w:lang w:val="en-US"/>
        </w:rPr>
        <w:footnoteReference w:id="3"/>
      </w:r>
      <w:r>
        <w:rPr>
          <w:rtl w:val="0"/>
          <w:lang w:val="en-US"/>
        </w:rPr>
        <w:t xml:space="preserve"> e</w:t>
      </w: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Pubblicare un avviso alle imprese rafforzato</w:t>
      </w:r>
      <w:r>
        <w:rPr>
          <w:rtl w:val="0"/>
          <w:lang w:val="en-US"/>
        </w:rPr>
        <w:t>: In attesa 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adozione di tale legislazione, diffondere un documento che scoraggi le imprese europee dallo svolgere attivit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che beneficiano gli insediamenti israeliani. Questo dovrebbe andare significativamente oltre l'attuale documento consultivo dell'UE</w:t>
      </w:r>
      <w:r>
        <w:rPr>
          <w:vertAlign w:val="superscript"/>
          <w:lang w:val="en-US"/>
        </w:rPr>
        <w:footnoteReference w:id="4"/>
      </w:r>
      <w:r>
        <w:rPr>
          <w:rtl w:val="0"/>
          <w:lang w:val="en-US"/>
        </w:rPr>
        <w:t xml:space="preserve"> per scoraggiare ogni commercio con gli insediamenti (come ha fatto la Norvegia</w:t>
      </w:r>
      <w:r>
        <w:rPr>
          <w:vertAlign w:val="superscript"/>
          <w:lang w:val="en-US"/>
        </w:rPr>
        <w:footnoteReference w:id="5"/>
      </w:r>
      <w:r>
        <w:rPr>
          <w:rtl w:val="0"/>
          <w:lang w:val="en-US"/>
        </w:rPr>
        <w:t>) e ogni relazione con banche e imprese israeliane operanti negli insediamenti illegali, vista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alta probabilit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di contribuire a gravi violazioni dei diritti umani e del diritto internazionale.</w:t>
      </w:r>
    </w:p>
    <w:p>
      <w:pPr>
        <w:pStyle w:val="Corpo"/>
      </w:pPr>
      <w:r>
        <w:rPr>
          <w:rtl w:val="0"/>
          <w:lang w:val="en-US"/>
        </w:rPr>
        <w:t>In attesa di una pronta risposta, confidiamo che la Commissione Europea intraprender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rapidamente le misure necessarie per conformarsi al diritto internazionale e porre fine ad ogni complicit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negli abusi.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Distinti saluti,</w:t>
      </w:r>
    </w:p>
    <w:p>
      <w:pPr>
        <w:pStyle w:val="Corpo"/>
        <w:rPr>
          <w:lang w:val="en-US"/>
        </w:rPr>
      </w:pPr>
    </w:p>
    <w:p>
      <w:pPr>
        <w:pStyle w:val="Corpo"/>
        <w:rPr>
          <w:lang w:val="en-US"/>
        </w:rPr>
      </w:pPr>
      <w:r>
        <w:rPr>
          <w:rtl w:val="0"/>
          <w:lang w:val="it-IT"/>
        </w:rPr>
        <w:t>lista firmatari:</w:t>
      </w:r>
    </w:p>
    <w:p>
      <w:pPr>
        <w:pStyle w:val="Corpo"/>
        <w:rPr>
          <w:lang w:val="en-US"/>
        </w:rPr>
      </w:pPr>
    </w:p>
    <w:p>
      <w:pPr>
        <w:pStyle w:val="Corpo"/>
        <w:rPr>
          <w:lang w:val="en-US"/>
        </w:rPr>
      </w:pPr>
    </w:p>
    <w:p>
      <w:pPr>
        <w:pStyle w:val="Corpo"/>
        <w:rPr>
          <w:lang w:val="en-US"/>
        </w:rPr>
      </w:pPr>
      <w:r>
        <w:rPr>
          <w:rtl w:val="0"/>
          <w:lang w:val="en-US"/>
        </w:rPr>
        <w:t>11.11.11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 Plataforma Unit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ria de Solidariedade com a Palestina (PUSP)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Academics for Palestine - Ireland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ACT Alliance EU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Act Church of Sweden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ActionAid Denmark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ActionAid France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ActionAid International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ActionAid Italy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ACV-CSC Belgium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Anti-Zionst Jewish Alliance in Belgium (AJAB)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Al Mezan Center for Human Rights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Al-Haq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Al-Haq Europe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Amis de Sabeel France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Amnesty International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Anti-Racist Forum ry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AOI ETS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ARCI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Association Belgo-Palestinienne WB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Association Culture et Paix (ACP)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Association des Universitaires pour le Respect du Droit International en Palestine (AURDIP)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Association France Palestine Solidarit</w:t>
      </w:r>
      <w:r>
        <w:rPr>
          <w:rtl w:val="0"/>
          <w:lang w:val="en-US"/>
        </w:rPr>
        <w:t>é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Assopace Palestina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Belgian Academics and Artists for Palestine/Belgian Campaign for Academic and Cultural Boycott of Israel (BA4P/BACBI)</w:t>
      </w:r>
      <w:r>
        <w:rPr>
          <w:rtl w:val="0"/>
          <w:lang w:val="en-US"/>
        </w:rPr>
        <w:t> 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BePax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Broederlijk Delen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Business and Human Rights Resource Centre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Cairo Institute for Human Rights Studies (CIHRS)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Campagna Ponti e Non Muri - Pax Christi Italia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Caritas Europa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CCFD-Terre Solidaire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CEDETIM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Centre for Research on Multinational Corporations (SOMO)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Confedera</w:t>
      </w:r>
      <w:r>
        <w:rPr>
          <w:rtl w:val="0"/>
          <w:lang w:val="en-US"/>
        </w:rPr>
        <w:t>çã</w:t>
      </w:r>
      <w:r>
        <w:rPr>
          <w:rtl w:val="0"/>
          <w:lang w:val="en-US"/>
        </w:rPr>
        <w:t>o Geral dos Trabalhadores Portugueses - Intersindical Nacional (CGTP-IN)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Child Rights International Network (CRIN)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Chr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tiens de la 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diterran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Christian Aid Ireland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CIDSE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CNCD-11.11.11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CNE CSC Belgium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Comit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de Solidaridad con la Causa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rabe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Confederaci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Sindical de Comisiones Obreras (CCOO)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Conf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ration Fran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aise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mocratique du Travail (CFDT)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Conf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ration g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rale du travail (CGT)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Confederazione Generale Italiana del Lavoro (CGIL)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Conselho Portugu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s para a Paz e Coopera</w:t>
      </w:r>
      <w:r>
        <w:rPr>
          <w:rtl w:val="0"/>
          <w:lang w:val="en-US"/>
        </w:rPr>
        <w:t>çã</w:t>
      </w:r>
      <w:r>
        <w:rPr>
          <w:rtl w:val="0"/>
          <w:lang w:val="en-US"/>
        </w:rPr>
        <w:t>o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COSTRUTTORI DI PACE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CRID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CULTURE DE PALESTINE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Danish Muslim Aid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De-Colonizer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Defence for Children International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DIAKONIA (Sweden)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Dru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tvo OV-CA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Dutch Scholars for Palestine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Een Andere Joodse Stem (Another Jewish Voice, Belgium)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 xml:space="preserve">EinStaat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Konfliktzonen Kunst &amp; Denkkollektive - OneState Embassy Art collective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Ek</w:t>
      </w:r>
      <w:r>
        <w:rPr>
          <w:rtl w:val="0"/>
          <w:lang w:val="en-US"/>
        </w:rPr>
        <w:t>ō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Entraide et Fraternit</w:t>
      </w:r>
      <w:r>
        <w:rPr>
          <w:rtl w:val="0"/>
          <w:lang w:val="en-US"/>
        </w:rPr>
        <w:t>é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Eurocadres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EuroMed Rights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European Coordination of Committees and Associations for Palestine - ECCP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European Legal Support Center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European Middle East Project (EuMEP)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European Trade Union Network for Justice in Palestine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Fackf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rbundet ST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ration Artisans du Monde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Fem-R ry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FGTB-ABVV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Finnish Development NGOs - Fingo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Finnish Refugee Advice Centre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Finnish Women</w:t>
      </w:r>
      <w:r>
        <w:rPr>
          <w:rtl w:val="0"/>
          <w:lang w:val="en-US"/>
        </w:rPr>
        <w:t>´</w:t>
      </w:r>
      <w:r>
        <w:rPr>
          <w:rtl w:val="0"/>
          <w:lang w:val="en-US"/>
        </w:rPr>
        <w:t>s Association Unioni (Naisasialiitto Unioni ry)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Finnwatch ry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FLC CGIL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Forum Ziviler Friedensdienst e.V.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France Am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rique latine FAL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GLAN | Global Legal Action Network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GREI 250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Helsinki Pride Community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Human Rights Watch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Humanitas - Centre for Global Learning and Cooperation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HuSoMe</w:t>
      </w:r>
      <w:r>
        <w:rPr>
          <w:rtl w:val="0"/>
          <w:lang w:val="en-US"/>
        </w:rPr>
        <w:t> 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INTAL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International Federation for Human Rights (FIDH)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International Media Support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International Rehabilitation Council for Torture Victims (IRCT)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Intersindical Valenciana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Ireland-Palestine Solidarity Campaign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ISCOD SINDICALISTAS SIN FRONTERAS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 xml:space="preserve">Istituto Italiano di Ricerca per la Pace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Corpi Civili di Pace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Jeunes FGTB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Judeus pela Paz e Justi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Kommunal, Swedish Municipal Worker's Union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La Cimade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medico international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Mlad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zelen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z.s.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Mondiaal FNV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Movimento pelos Direitos do Povo Palestino e pela Paz no 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dio Oriente - MPPM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MUNDUBAT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Ne na</w:t>
      </w:r>
      <w:r>
        <w:rPr>
          <w:rtl w:val="0"/>
          <w:lang w:val="en-US"/>
        </w:rPr>
        <w:t>ší</w:t>
      </w:r>
      <w:r>
        <w:rPr>
          <w:rtl w:val="0"/>
          <w:lang w:val="en-US"/>
        </w:rPr>
        <w:t>m jm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nem! - Za spravedliv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r na Bl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zk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 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chod</w:t>
      </w:r>
      <w:r>
        <w:rPr>
          <w:rtl w:val="0"/>
          <w:lang w:val="en-US"/>
        </w:rPr>
        <w:t>ě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 xml:space="preserve">Netzwerk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kumenisches Begleitprogramm in Pal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stina und Israel in Deutschland e.V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No Name Kitchen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Nuorten mielenterveysseura - Yeesi ry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Olof Palmes Internationella Center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Organizacija za participatorno dru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bo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Oxfam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OZ Prirodzene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Palestina Solidariteit vzw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Palestina.lt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PAX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Pax Christi Di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zesanverband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nchen und Freising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Pax Christi Dt. Sektion e.V.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Pax Christi Flanders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Pax Christi International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Pax Christi Italia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Paz con Dignidad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Peace Institute, Ljubljana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PIC - Legal Center for the Protection of Human Rights and the Environment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Plan International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Plateforme des ONG fran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aises pour la Palestine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PROJA Institut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Proti dehumanizaci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Red Universitaria por Palestina (RUxP), ES.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REF-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seau Euromed France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seau Euromed France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RESEAU FEMINISTE "RUPTURES" FRANCE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ResQ - People Saving People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Rete Italiana Pace e Disarmo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Rete Ricerca e Universita' per la Palestina, Italy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Sadaka-the Ireland Palestine Alliance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Saplinq, o.z.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Seta LGBTQI+ Rights Finland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Sindicato Andaluz de Trabajadores (SAT)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Sindikat Mladi plus (Trade Union Youth Plus)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Slovene Philanthropy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SOLIDAR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SOUTIEN BELGE OUTRE-FRONTIERES - SB OVERSEAS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Stichting Kifaia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Sumud - the Finnish Palestine Network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Swedish Peace and Arbitration Society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The Finnish League for Human Rights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The Kvinna till Kvinna Foundation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The National Council of Women of Finland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The Rights Forum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Trans ry / Trans Association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UGT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Umanotera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Un Ponte Per (NGO)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Union des Progressistes Juifs de Belgique (UPJB)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Union syndicale Solidaires (France)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United Against Inhumanity (UAI)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UnPontePer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Vida Justa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Viva Salud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Vrede vzw (Belgium)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Vredesactie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VSS FF UL (Visoko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olski sindikat Slovenije) - sindikalna celica Filozofske fakultete v Ljubljani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Weltfriedensdienst e.V.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World Organisation Against Torture (OMCT)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ZASUK - sindikat za ustvarjalnost in kulturo</w:t>
      </w:r>
    </w:p>
    <w:p>
      <w:pPr>
        <w:pStyle w:val="Corpo"/>
        <w:rPr>
          <w:lang w:val="en-US"/>
        </w:rPr>
      </w:pPr>
      <w:r>
        <w:rPr>
          <w:rtl w:val="0"/>
          <w:lang w:val="en-US"/>
        </w:rPr>
        <w:t>Zavod Tri / Three Institute</w:t>
      </w:r>
    </w:p>
    <w:p>
      <w:pPr>
        <w:pStyle w:val="Corpo"/>
      </w:pPr>
      <w:r>
        <w:rPr>
          <w:rtl w:val="0"/>
          <w:lang w:val="en-US"/>
        </w:rPr>
        <w:t>Zavod za podporo civilnodru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benih iniciativ in multikulturno sodelovanje Pekarna Magdalenske mre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 Maribor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vertAlign w:val="superscript"/>
          <w:lang w:val="en-US"/>
        </w:rPr>
        <w:footnoteRef/>
      </w:r>
      <w:r>
        <w:rPr>
          <w:sz w:val="18"/>
          <w:szCs w:val="18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"https://www.icj-cij.org/sites/default/files/case-related/186/186-20240719-adv-01-00-en.pdf"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https://www.icj-cij.org/sites/default/files/case-related/186/186-20240719-adv-01-00-en.pdf</w:t>
      </w:r>
      <w:r>
        <w:rPr/>
        <w:fldChar w:fldCharType="end" w:fldLock="0"/>
      </w:r>
      <w:r>
        <w:rPr>
          <w:sz w:val="18"/>
          <w:szCs w:val="18"/>
          <w:rtl w:val="0"/>
          <w:lang w:val="en-US"/>
        </w:rPr>
        <w:t xml:space="preserve">. </w:t>
      </w:r>
    </w:p>
  </w:footnote>
  <w:footnote w:id="2">
    <w:p>
      <w:pPr>
        <w:pStyle w:val="footnote text"/>
      </w:pPr>
      <w:r>
        <w:rPr>
          <w:vertAlign w:val="superscript"/>
          <w:lang w:val="en-US"/>
        </w:rPr>
        <w:footnoteRef/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 xml:space="preserve">L'ultimo, tra i tanti: </w:t>
      </w:r>
      <w:r>
        <w:rPr>
          <w:rStyle w:val="Hyperlink.1"/>
          <w:sz w:val="18"/>
          <w:szCs w:val="18"/>
          <w:lang w:val="en-US"/>
        </w:rPr>
        <w:fldChar w:fldCharType="begin" w:fldLock="0"/>
      </w:r>
      <w:r>
        <w:rPr>
          <w:rStyle w:val="Hyperlink.1"/>
          <w:sz w:val="18"/>
          <w:szCs w:val="18"/>
          <w:lang w:val="en-US"/>
        </w:rPr>
        <w:instrText xml:space="preserve"> HYPERLINK "https://www.eeas.europa.eu/delegations/un-geneva/hrc57-item-4-general-debate-human-rights-situations-require-council%25E2%2580%2599s-attention_en?s=62"</w:instrText>
      </w:r>
      <w:r>
        <w:rPr>
          <w:rStyle w:val="Hyperlink.1"/>
          <w:sz w:val="18"/>
          <w:szCs w:val="18"/>
          <w:lang w:val="en-US"/>
        </w:rPr>
        <w:fldChar w:fldCharType="separate" w:fldLock="0"/>
      </w:r>
      <w:r>
        <w:rPr>
          <w:rStyle w:val="Hyperlink.1"/>
          <w:sz w:val="18"/>
          <w:szCs w:val="18"/>
          <w:rtl w:val="0"/>
          <w:lang w:val="en-US"/>
        </w:rPr>
        <w:t>https://www.eeas.europa.eu/delegations/un-geneva/hrc57-item-4-general-debate-human-rights-situations-require-council%E2%80%99s-attention_en?s=62</w:t>
      </w:r>
      <w:r>
        <w:rPr/>
        <w:fldChar w:fldCharType="end" w:fldLock="0"/>
      </w:r>
      <w:r>
        <w:rPr>
          <w:sz w:val="18"/>
          <w:szCs w:val="18"/>
          <w:rtl w:val="0"/>
          <w:lang w:val="en-US"/>
        </w:rPr>
        <w:t xml:space="preserve">. </w:t>
      </w:r>
    </w:p>
  </w:footnote>
  <w:footnote w:id="3">
    <w:p>
      <w:pPr>
        <w:pStyle w:val="footnote text"/>
      </w:pPr>
      <w:r>
        <w:rPr>
          <w:vertAlign w:val="superscript"/>
          <w:lang w:val="en-US"/>
        </w:rPr>
        <w:footnoteRef/>
      </w:r>
      <w:r>
        <w:rPr>
          <w:sz w:val="18"/>
          <w:szCs w:val="18"/>
          <w:rtl w:val="0"/>
          <w:lang w:val="en-US"/>
        </w:rPr>
        <w:t xml:space="preserve"> Decisione di esecuzione (UE) 2021/1484 della Commissione dell</w:t>
      </w:r>
      <w:r>
        <w:rPr>
          <w:sz w:val="18"/>
          <w:szCs w:val="18"/>
          <w:rtl w:val="0"/>
          <w:lang w:val="en-US"/>
        </w:rPr>
        <w:t>’</w:t>
      </w:r>
      <w:r>
        <w:rPr>
          <w:sz w:val="18"/>
          <w:szCs w:val="18"/>
          <w:rtl w:val="0"/>
          <w:lang w:val="en-US"/>
        </w:rPr>
        <w:t>8</w:t>
      </w:r>
      <w:r>
        <w:rPr>
          <w:sz w:val="18"/>
          <w:szCs w:val="18"/>
          <w:rtl w:val="0"/>
          <w:lang w:val="en-US"/>
        </w:rPr>
        <w:t> </w:t>
      </w:r>
      <w:r>
        <w:rPr>
          <w:sz w:val="18"/>
          <w:szCs w:val="18"/>
          <w:rtl w:val="0"/>
          <w:lang w:val="en-US"/>
        </w:rPr>
        <w:t xml:space="preserve">settembre 2021, recital 11,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"https://eur-lex.europa.eu/legal-content/EN/TXT/HTML/?uri=CELEX:32021D1484&amp;from=EN"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https://eur-lex.europa.eu/legal-content/EN/TXT/HTML/?uri=CELEX:32021D1484&amp;from=EN</w:t>
      </w:r>
      <w:r>
        <w:rPr/>
        <w:fldChar w:fldCharType="end" w:fldLock="0"/>
      </w:r>
      <w:r>
        <w:rPr>
          <w:sz w:val="18"/>
          <w:szCs w:val="18"/>
          <w:rtl w:val="0"/>
          <w:lang w:val="en-US"/>
        </w:rPr>
        <w:t xml:space="preserve">. </w:t>
      </w:r>
    </w:p>
  </w:footnote>
  <w:footnote w:id="4">
    <w:p>
      <w:pPr>
        <w:pStyle w:val="footnote text"/>
      </w:pPr>
      <w:r>
        <w:rPr>
          <w:vertAlign w:val="superscript"/>
          <w:lang w:val="en-US"/>
        </w:rPr>
        <w:footnoteRef/>
      </w:r>
      <w:r>
        <w:rPr>
          <w:sz w:val="18"/>
          <w:szCs w:val="18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"https://www.eeas.europa.eu/eeas/common-messages-aimed-raising-awareness-among-eu-citizens-and-businesses-regarding-involvement_en"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https://www.eeas.europa.eu/eeas/common-messages-aimed-raising-awareness-among-eu-citizens-and-businesses-regarding-involvement_en</w:t>
      </w:r>
      <w:r>
        <w:rPr/>
        <w:fldChar w:fldCharType="end" w:fldLock="0"/>
      </w:r>
      <w:r>
        <w:rPr>
          <w:sz w:val="18"/>
          <w:szCs w:val="18"/>
          <w:rtl w:val="0"/>
          <w:lang w:val="en-US"/>
        </w:rPr>
        <w:t xml:space="preserve">. </w:t>
      </w:r>
    </w:p>
  </w:footnote>
  <w:footnote w:id="5">
    <w:p>
      <w:pPr>
        <w:pStyle w:val="footnote text"/>
      </w:pPr>
      <w:r>
        <w:rPr>
          <w:vertAlign w:val="superscript"/>
          <w:lang w:val="en-US"/>
        </w:rPr>
        <w:footnoteRef/>
      </w:r>
      <w:r>
        <w:rPr>
          <w:sz w:val="18"/>
          <w:szCs w:val="18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"https://www.regjeringen.no/en/aktuelt/do-not-engage-in-trade-and-business-cooperation-that-serves-to-perpetuate-israels-occupation-of-palestine/id3061358/"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https://www.regjeringen.no/en/aktuelt/do-not-engage-in-trade-and-business-cooperation-that-serves-to-perpetuate-israels-occupation-of-palestine/id3061358/</w:t>
      </w:r>
      <w:r>
        <w:rPr/>
        <w:fldChar w:fldCharType="end" w:fldLock="0"/>
      </w:r>
      <w:r>
        <w:rPr>
          <w:sz w:val="18"/>
          <w:szCs w:val="18"/>
          <w:rtl w:val="0"/>
          <w:lang w:val="en-US"/>
        </w:rPr>
        <w:t xml:space="preserve">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76" w:lineRule="auto"/>
      <w:ind w:left="0" w:right="0" w:firstLine="0"/>
      <w:jc w:val="both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Link"/>
    <w:next w:val="Hyperlink.0"/>
    <w:rPr>
      <w:sz w:val="18"/>
      <w:szCs w:val="18"/>
    </w:rPr>
  </w:style>
  <w:style w:type="character" w:styleId="Hyperlink.1">
    <w:name w:val="Hyperlink.1"/>
    <w:basedOn w:val="Link"/>
    <w:next w:val="Hyperlink.1"/>
    <w:rPr>
      <w:sz w:val="18"/>
      <w:szCs w:val="18"/>
      <w:lang w:val="en-US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